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24"/>
          <w:szCs w:val="24"/>
        </w:rPr>
      </w:pPr>
      <w:bookmarkStart w:colFirst="0" w:colLast="0" w:name="_2ru13m2y6ro2" w:id="0"/>
      <w:bookmarkEnd w:id="0"/>
      <w:r w:rsidDel="00000000" w:rsidR="00000000" w:rsidRPr="00000000">
        <w:rPr>
          <w:rFonts w:ascii="Arial" w:cs="Arial" w:eastAsia="Arial" w:hAnsi="Arial"/>
          <w:b w:val="1"/>
          <w:sz w:val="24"/>
          <w:szCs w:val="24"/>
          <w:rtl w:val="0"/>
        </w:rPr>
        <w:t xml:space="preserve">Joint Schedule 1 (Definitions)</w:t>
      </w:r>
    </w:p>
    <w:p w:rsidR="00000000" w:rsidDel="00000000" w:rsidP="00000000" w:rsidRDefault="00000000" w:rsidRPr="00000000" w14:paraId="00000002">
      <w:pPr>
        <w:numPr>
          <w:ilvl w:val="1"/>
          <w:numId w:val="3"/>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w:t>
      </w:r>
      <w:bookmarkStart w:colFirst="0" w:colLast="0" w:name="26uy6i4lgir1" w:id="1"/>
      <w:bookmarkEnd w:id="1"/>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r w:rsidDel="00000000" w:rsidR="00000000" w:rsidRPr="00000000">
        <w:rPr>
          <w:rtl w:val="0"/>
        </w:rPr>
      </w:r>
    </w:p>
    <w:p w:rsidR="00000000" w:rsidDel="00000000" w:rsidP="00000000" w:rsidRDefault="00000000" w:rsidRPr="00000000" w14:paraId="00000003">
      <w:pPr>
        <w:numPr>
          <w:ilvl w:val="1"/>
          <w:numId w:val="3"/>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bookmarkStart w:colFirst="0" w:colLast="0" w:name="_c0a6v9dp6qxs" w:id="2"/>
      <w:bookmarkEnd w:id="2"/>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r w:rsidDel="00000000" w:rsidR="00000000" w:rsidRPr="00000000">
        <w:rPr>
          <w:rtl w:val="0"/>
        </w:rPr>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each Contract, unless the context otherwise requires:</w:t>
      </w:r>
      <w:r w:rsidDel="00000000" w:rsidR="00000000" w:rsidRPr="00000000">
        <w:rPr>
          <w:rtl w:val="0"/>
        </w:rPr>
      </w:r>
    </w:p>
    <w:p w:rsidR="00000000" w:rsidDel="00000000" w:rsidP="00000000" w:rsidRDefault="00000000" w:rsidRPr="00000000" w14:paraId="0000000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0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bookmarkStart w:colFirst="0" w:colLast="0" w:name="_1cc8d4ek8mix" w:id="3"/>
      <w:bookmarkEnd w:id="3"/>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where a standard, policy or document is referred to by reference of a hyperlink, if that hyperlink is changed or no longer provides access to the relevant standard, policy or document, the Supplier shall notify the Relevant Authority and the Parties shall update the reference to a replacement hyperlink;</w:t>
      </w:r>
    </w:p>
    <w:p w:rsidR="00000000" w:rsidDel="00000000" w:rsidP="00000000" w:rsidRDefault="00000000" w:rsidRPr="00000000" w14:paraId="0000001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3"/>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r w:rsidDel="00000000" w:rsidR="00000000" w:rsidRPr="00000000">
        <w:rPr>
          <w:rtl w:val="0"/>
        </w:rPr>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7990"/>
        <w:tblGridChange w:id="0">
          <w:tblGrid>
            <w:gridCol w:w="2070"/>
            <w:gridCol w:w="7990"/>
          </w:tblGrid>
        </w:tblGridChange>
      </w:tblGrid>
      <w:tr>
        <w:trPr>
          <w:cantSplit w:val="0"/>
          <w:tblHeader w:val="0"/>
        </w:trPr>
        <w:tc>
          <w:tcPr/>
          <w:p w:rsidR="00000000" w:rsidDel="00000000" w:rsidP="00000000" w:rsidRDefault="00000000" w:rsidRPr="00000000" w14:paraId="00000019">
            <w:pPr>
              <w:spacing w:after="120" w:lineRule="auto"/>
              <w:ind w:left="141" w:firstLine="0"/>
              <w:rPr>
                <w:rFonts w:ascii="Arial" w:cs="Arial" w:eastAsia="Arial" w:hAnsi="Arial"/>
                <w:b w:val="1"/>
                <w:color w:val="ff0000"/>
                <w:sz w:val="24"/>
                <w:szCs w:val="24"/>
              </w:rPr>
            </w:pPr>
            <w:bookmarkStart w:colFirst="0" w:colLast="0" w:name="_6vv7t8lf1qu8" w:id="4"/>
            <w:bookmarkEnd w:id="4"/>
            <w:r w:rsidDel="00000000" w:rsidR="00000000" w:rsidRPr="00000000">
              <w:rPr>
                <w:rFonts w:ascii="Arial" w:cs="Arial" w:eastAsia="Arial" w:hAnsi="Arial"/>
                <w:b w:val="1"/>
                <w:color w:val="ff0000"/>
                <w:sz w:val="24"/>
                <w:szCs w:val="24"/>
                <w:rtl w:val="0"/>
              </w:rPr>
              <w:t xml:space="preserve">“Accounting</w:t>
            </w:r>
          </w:p>
          <w:p w:rsidR="00000000" w:rsidDel="00000000" w:rsidP="00000000" w:rsidRDefault="00000000" w:rsidRPr="00000000" w14:paraId="0000001A">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color w:val="ff0000"/>
                <w:sz w:val="24"/>
                <w:szCs w:val="24"/>
                <w:rtl w:val="0"/>
              </w:rPr>
              <w:t xml:space="preserve">Reference Date”</w:t>
            </w:r>
            <w:r w:rsidDel="00000000" w:rsidR="00000000" w:rsidRPr="00000000">
              <w:rPr>
                <w:rtl w:val="0"/>
              </w:rPr>
            </w:r>
          </w:p>
        </w:tc>
        <w:tc>
          <w:tcPr/>
          <w:p w:rsidR="00000000" w:rsidDel="00000000" w:rsidP="00000000" w:rsidRDefault="00000000" w:rsidRPr="00000000" w14:paraId="0000001B">
            <w:pPr>
              <w:tabs>
                <w:tab w:val="left" w:leader="none" w:pos="-179"/>
                <w:tab w:val="left" w:leader="none" w:pos="-9"/>
              </w:tabs>
              <w:spacing w:after="120" w:lineRule="auto"/>
              <w:ind w:left="141" w:right="158" w:firstLine="0"/>
              <w:jc w:val="both"/>
              <w:rPr>
                <w:rFonts w:ascii="Arial" w:cs="Arial" w:eastAsia="Arial" w:hAnsi="Arial"/>
                <w:color w:val="ff0000"/>
                <w:sz w:val="24"/>
                <w:szCs w:val="24"/>
              </w:rPr>
            </w:pPr>
            <w:r w:rsidDel="00000000" w:rsidR="00000000" w:rsidRPr="00000000">
              <w:rPr>
                <w:rFonts w:ascii="Arial" w:cs="Arial" w:eastAsia="Arial" w:hAnsi="Arial"/>
                <w:color w:val="ff0000"/>
                <w:sz w:val="24"/>
                <w:szCs w:val="24"/>
                <w:rtl w:val="0"/>
              </w:rPr>
              <w:t xml:space="preserve">Accounting Reference Date; means in each year the date to which the Supplier prepares its annual audited financial statements.</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Training Charge”</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 for any additional training agreed to be provided by the Supplier to the Buyer in excess of the Value Added Services set out in Framework Schedule 1 (Specification), which shall not exceed the Supplier’s hourly rates;</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“Associates”</w:t>
            </w:r>
            <w:r w:rsidDel="00000000" w:rsidR="00000000" w:rsidRPr="00000000">
              <w:rPr>
                <w:rtl w:val="0"/>
              </w:rPr>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30">
            <w:pPr>
              <w:numPr>
                <w:ilvl w:val="0"/>
                <w:numId w:val="1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31">
            <w:pPr>
              <w:numPr>
                <w:ilvl w:val="0"/>
                <w:numId w:val="1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32">
            <w:pPr>
              <w:numPr>
                <w:ilvl w:val="0"/>
                <w:numId w:val="1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33">
            <w:pPr>
              <w:numPr>
                <w:ilvl w:val="0"/>
                <w:numId w:val="1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34">
            <w:pPr>
              <w:numPr>
                <w:ilvl w:val="0"/>
                <w:numId w:val="1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5">
            <w:pPr>
              <w:numPr>
                <w:ilvl w:val="0"/>
                <w:numId w:val="1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6">
            <w:pPr>
              <w:numPr>
                <w:ilvl w:val="0"/>
                <w:numId w:val="1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7">
            <w:pPr>
              <w:numPr>
                <w:ilvl w:val="0"/>
                <w:numId w:val="1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8">
            <w:pPr>
              <w:numPr>
                <w:ilvl w:val="0"/>
                <w:numId w:val="1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9">
            <w:pPr>
              <w:numPr>
                <w:ilvl w:val="0"/>
                <w:numId w:val="1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A">
            <w:pPr>
              <w:numPr>
                <w:ilvl w:val="0"/>
                <w:numId w:val="1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p w:rsidR="00000000" w:rsidDel="00000000" w:rsidP="00000000" w:rsidRDefault="00000000" w:rsidRPr="00000000" w14:paraId="0000003B">
            <w:pPr>
              <w:numPr>
                <w:ilvl w:val="0"/>
                <w:numId w:val="1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rPr>
            </w:pPr>
            <w:r w:rsidDel="00000000" w:rsidR="00000000" w:rsidRPr="00000000">
              <w:rPr>
                <w:rFonts w:ascii="Arial" w:cs="Arial" w:eastAsia="Arial" w:hAnsi="Arial"/>
                <w:sz w:val="24"/>
                <w:szCs w:val="24"/>
                <w:rtl w:val="0"/>
              </w:rPr>
              <w:t xml:space="preserve">receive from the Supplier on request summaries of all central Government public sector expenditure placed with the Supplier including through routes outside the Framework Contract in order to verify that the Supplier’s practice is consistent with the Government’s transparency on common goods and services; or</w:t>
            </w:r>
            <w:r w:rsidDel="00000000" w:rsidR="00000000" w:rsidRPr="00000000">
              <w:rPr>
                <w:rtl w:val="0"/>
              </w:rPr>
            </w:r>
          </w:p>
          <w:p w:rsidR="00000000" w:rsidDel="00000000" w:rsidP="00000000" w:rsidRDefault="00000000" w:rsidRPr="00000000" w14:paraId="0000003C">
            <w:pPr>
              <w:numPr>
                <w:ilvl w:val="0"/>
                <w:numId w:val="1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rPr>
            </w:pPr>
            <w:r w:rsidDel="00000000" w:rsidR="00000000" w:rsidRPr="00000000">
              <w:rPr>
                <w:rFonts w:ascii="Arial" w:cs="Arial" w:eastAsia="Arial" w:hAnsi="Arial"/>
                <w:sz w:val="24"/>
                <w:szCs w:val="24"/>
                <w:rtl w:val="0"/>
              </w:rPr>
              <w:t xml:space="preserve">inspect the Buyer’s Assets, including IPR, equipment and facilities, for the purposes of ensuring that the Buyer’s Assets are secure and that any register of assets is up-to-date;</w:t>
            </w:r>
            <w:r w:rsidDel="00000000" w:rsidR="00000000" w:rsidRPr="00000000">
              <w:rPr>
                <w:rtl w:val="0"/>
              </w:rPr>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E">
            <w:pPr>
              <w:numPr>
                <w:ilvl w:val="0"/>
                <w:numId w:val="3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F">
            <w:pPr>
              <w:numPr>
                <w:ilvl w:val="0"/>
                <w:numId w:val="3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40">
            <w:pPr>
              <w:numPr>
                <w:ilvl w:val="0"/>
                <w:numId w:val="3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41">
            <w:pPr>
              <w:numPr>
                <w:ilvl w:val="0"/>
                <w:numId w:val="3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42">
            <w:pPr>
              <w:numPr>
                <w:ilvl w:val="0"/>
                <w:numId w:val="3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43">
            <w:pPr>
              <w:numPr>
                <w:ilvl w:val="0"/>
                <w:numId w:val="3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45">
            <w:pPr>
              <w:ind w:left="141" w:right="15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"Business Continuity Plan"</w:t>
            </w:r>
            <w:r w:rsidDel="00000000" w:rsidR="00000000" w:rsidRPr="00000000">
              <w:rPr>
                <w:rtl w:val="0"/>
              </w:rPr>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1.3.2 of Call-Off Schedule 8;</w:t>
            </w:r>
            <w:r w:rsidDel="00000000" w:rsidR="00000000" w:rsidRPr="00000000">
              <w:rPr>
                <w:rtl w:val="0"/>
              </w:rPr>
            </w:r>
          </w:p>
        </w:tc>
      </w:tr>
      <w:tr>
        <w:trPr>
          <w:cantSplit w:val="0"/>
          <w:tblHeader w:val="0"/>
        </w:trPr>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 or their proposal following a direct award in accordance Framework Schedule 7 (Call-Off Award Procedure);</w:t>
            </w:r>
          </w:p>
        </w:tc>
      </w:tr>
      <w:tr>
        <w:trPr>
          <w:cantSplit w:val="0"/>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“Capped Price”</w:t>
            </w:r>
            <w:r w:rsidDel="00000000" w:rsidR="00000000" w:rsidRPr="00000000">
              <w:rPr>
                <w:rtl w:val="0"/>
              </w:rPr>
            </w:r>
          </w:p>
        </w:tc>
        <w:tc>
          <w:tcPr/>
          <w:p w:rsidR="00000000" w:rsidDel="00000000" w:rsidP="00000000" w:rsidRDefault="00000000" w:rsidRPr="00000000" w14:paraId="0000006B">
            <w:pPr>
              <w:tabs>
                <w:tab w:val="left" w:leader="none" w:pos="-179"/>
                <w:tab w:val="left" w:leader="none"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Pricing Mechanism where the Supplier agrees that the Charges to be paid by the Buyer will not exceed a maximum amount (i.e. a ‘cap’) for the supply of the Deliverables or, one or more specific elements of the Deliverables, which can be calculated either:</w:t>
            </w:r>
          </w:p>
          <w:p w:rsidR="00000000" w:rsidDel="00000000" w:rsidP="00000000" w:rsidRDefault="00000000" w:rsidRPr="00000000" w14:paraId="0000006C">
            <w:pPr>
              <w:tabs>
                <w:tab w:val="left" w:leader="none" w:pos="-179"/>
                <w:tab w:val="left" w:leader="none" w:pos="-9"/>
              </w:tabs>
              <w:spacing w:after="120" w:lineRule="auto"/>
              <w:ind w:left="1020" w:hanging="4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by reference to a single capped price, with hourly rates charged up to the maximum of the cap; or</w:t>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179"/>
                <w:tab w:val="left" w:leader="none" w:pos="1048"/>
              </w:tabs>
              <w:spacing w:after="120" w:lineRule="auto"/>
              <w:ind w:left="906" w:right="214" w:hanging="283"/>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multiple capped prices, each referenced to a different element or milestone of the Deliverables, with hourly rates charged up to the cap;</w:t>
            </w:r>
          </w:p>
        </w:tc>
      </w:tr>
      <w:tr>
        <w:trPr>
          <w:cantSplit w:val="0"/>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72">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74">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75">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76">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77">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w:t>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 change of control within the meaning of Section 450 of the Corporation Tax Act 2010; or </w:t>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any instance where the Supplier demerges into 2 or more firms, merges with another firm, incorporated or otherwise changes its legal form;</w:t>
            </w:r>
          </w:p>
        </w:tc>
      </w:tr>
      <w:tr>
        <w:trPr>
          <w:cantSplit w:val="0"/>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 and excluding Secondment Charges;</w:t>
            </w:r>
          </w:p>
        </w:tc>
      </w:tr>
      <w:tr>
        <w:trPr>
          <w:cantSplit w:val="0"/>
          <w:tblHeader w:val="0"/>
        </w:trP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Deliverables”</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any goods and/or services under an existing arrangement between the Supplier and Buyer;</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8C">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 and includes the meaning set out in the SRA Standards and Regulations (issued 29 October 2019: https://www.sra.org.uk/solicitors/guidance/ethics-guidance/conflicts-interest/) or equivalent Regulatory Compliance requirements in jurisdictions other than England and Wales, as amended from time to time;  </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“Contracts Finder”</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Government’s publishing portal for public sector procurement opportunities; </w:t>
            </w:r>
          </w:p>
        </w:tc>
      </w:tr>
      <w:tr>
        <w:trPr>
          <w:cantSplit w:val="0"/>
          <w:tblHeader w:val="0"/>
        </w:trPr>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 </w:t>
            </w:r>
          </w:p>
          <w:p w:rsidR="00000000" w:rsidDel="00000000" w:rsidP="00000000" w:rsidRDefault="00000000" w:rsidRPr="00000000" w14:paraId="000000A3">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A4">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color w:val="000000"/>
              </w:rPr>
            </w:pPr>
            <w:r w:rsidDel="00000000" w:rsidR="00000000" w:rsidRPr="00000000">
              <w:rPr>
                <w:rFonts w:ascii="Arial" w:cs="Arial" w:eastAsia="Arial" w:hAnsi="Arial"/>
                <w:color w:val="000000"/>
                <w:sz w:val="24"/>
                <w:szCs w:val="24"/>
                <w:rtl w:val="0"/>
              </w:rPr>
              <w:t xml:space="preserve">base salary paid to the Supplier Staff;</w:t>
            </w:r>
            <w:r w:rsidDel="00000000" w:rsidR="00000000" w:rsidRPr="00000000">
              <w:rPr>
                <w:rtl w:val="0"/>
              </w:rPr>
            </w:r>
          </w:p>
          <w:p w:rsidR="00000000" w:rsidDel="00000000" w:rsidP="00000000" w:rsidRDefault="00000000" w:rsidRPr="00000000" w14:paraId="000000A5">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color w:val="000000"/>
              </w:rPr>
            </w:pPr>
            <w:r w:rsidDel="00000000" w:rsidR="00000000" w:rsidRPr="00000000">
              <w:rPr>
                <w:rFonts w:ascii="Arial" w:cs="Arial" w:eastAsia="Arial" w:hAnsi="Arial"/>
                <w:color w:val="000000"/>
                <w:sz w:val="24"/>
                <w:szCs w:val="24"/>
                <w:rtl w:val="0"/>
              </w:rPr>
              <w:t xml:space="preserve">employer’s National Insurance contributions;</w:t>
            </w:r>
            <w:r w:rsidDel="00000000" w:rsidR="00000000" w:rsidRPr="00000000">
              <w:rPr>
                <w:rtl w:val="0"/>
              </w:rPr>
            </w:r>
          </w:p>
          <w:p w:rsidR="00000000" w:rsidDel="00000000" w:rsidP="00000000" w:rsidRDefault="00000000" w:rsidRPr="00000000" w14:paraId="000000A6">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color w:val="000000"/>
              </w:rPr>
            </w:pPr>
            <w:r w:rsidDel="00000000" w:rsidR="00000000" w:rsidRPr="00000000">
              <w:rPr>
                <w:rFonts w:ascii="Arial" w:cs="Arial" w:eastAsia="Arial" w:hAnsi="Arial"/>
                <w:color w:val="000000"/>
                <w:sz w:val="24"/>
                <w:szCs w:val="24"/>
                <w:rtl w:val="0"/>
              </w:rPr>
              <w:t xml:space="preserve">pension contributions;</w:t>
            </w:r>
            <w:r w:rsidDel="00000000" w:rsidR="00000000" w:rsidRPr="00000000">
              <w:rPr>
                <w:rtl w:val="0"/>
              </w:rPr>
            </w:r>
          </w:p>
          <w:p w:rsidR="00000000" w:rsidDel="00000000" w:rsidP="00000000" w:rsidRDefault="00000000" w:rsidRPr="00000000" w14:paraId="000000A7">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color w:val="000000"/>
              </w:rPr>
            </w:pPr>
            <w:r w:rsidDel="00000000" w:rsidR="00000000" w:rsidRPr="00000000">
              <w:rPr>
                <w:rFonts w:ascii="Arial" w:cs="Arial" w:eastAsia="Arial" w:hAnsi="Arial"/>
                <w:color w:val="000000"/>
                <w:sz w:val="24"/>
                <w:szCs w:val="24"/>
                <w:rtl w:val="0"/>
              </w:rPr>
              <w:t xml:space="preserve">car allowances; </w:t>
            </w:r>
            <w:r w:rsidDel="00000000" w:rsidR="00000000" w:rsidRPr="00000000">
              <w:rPr>
                <w:rtl w:val="0"/>
              </w:rPr>
            </w:r>
          </w:p>
          <w:p w:rsidR="00000000" w:rsidDel="00000000" w:rsidP="00000000" w:rsidRDefault="00000000" w:rsidRPr="00000000" w14:paraId="000000A8">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color w:val="000000"/>
              </w:rPr>
            </w:pPr>
            <w:r w:rsidDel="00000000" w:rsidR="00000000" w:rsidRPr="00000000">
              <w:rPr>
                <w:rFonts w:ascii="Arial" w:cs="Arial" w:eastAsia="Arial" w:hAnsi="Arial"/>
                <w:color w:val="000000"/>
                <w:sz w:val="24"/>
                <w:szCs w:val="24"/>
                <w:rtl w:val="0"/>
              </w:rPr>
              <w:t xml:space="preserve">any other contractual employment benefits;</w:t>
            </w:r>
            <w:r w:rsidDel="00000000" w:rsidR="00000000" w:rsidRPr="00000000">
              <w:rPr>
                <w:rtl w:val="0"/>
              </w:rPr>
            </w:r>
          </w:p>
          <w:p w:rsidR="00000000" w:rsidDel="00000000" w:rsidP="00000000" w:rsidRDefault="00000000" w:rsidRPr="00000000" w14:paraId="000000A9">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color w:val="000000"/>
              </w:rPr>
            </w:pPr>
            <w:r w:rsidDel="00000000" w:rsidR="00000000" w:rsidRPr="00000000">
              <w:rPr>
                <w:rFonts w:ascii="Arial" w:cs="Arial" w:eastAsia="Arial" w:hAnsi="Arial"/>
                <w:color w:val="000000"/>
                <w:sz w:val="24"/>
                <w:szCs w:val="24"/>
                <w:rtl w:val="0"/>
              </w:rPr>
              <w:t xml:space="preserve">staff training;</w:t>
            </w:r>
            <w:r w:rsidDel="00000000" w:rsidR="00000000" w:rsidRPr="00000000">
              <w:rPr>
                <w:rtl w:val="0"/>
              </w:rPr>
            </w:r>
          </w:p>
          <w:p w:rsidR="00000000" w:rsidDel="00000000" w:rsidP="00000000" w:rsidRDefault="00000000" w:rsidRPr="00000000" w14:paraId="000000AA">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color w:val="000000"/>
              </w:rPr>
            </w:pPr>
            <w:r w:rsidDel="00000000" w:rsidR="00000000" w:rsidRPr="00000000">
              <w:rPr>
                <w:rFonts w:ascii="Arial" w:cs="Arial" w:eastAsia="Arial" w:hAnsi="Arial"/>
                <w:color w:val="000000"/>
                <w:sz w:val="24"/>
                <w:szCs w:val="24"/>
                <w:rtl w:val="0"/>
              </w:rPr>
              <w:t xml:space="preserve">work place accommodation;</w:t>
            </w:r>
            <w:r w:rsidDel="00000000" w:rsidR="00000000" w:rsidRPr="00000000">
              <w:rPr>
                <w:rtl w:val="0"/>
              </w:rPr>
            </w:r>
          </w:p>
          <w:p w:rsidR="00000000" w:rsidDel="00000000" w:rsidP="00000000" w:rsidRDefault="00000000" w:rsidRPr="00000000" w14:paraId="000000AB">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color w:val="000000"/>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r w:rsidDel="00000000" w:rsidR="00000000" w:rsidRPr="00000000">
              <w:rPr>
                <w:rtl w:val="0"/>
              </w:rPr>
            </w:r>
          </w:p>
          <w:p w:rsidR="00000000" w:rsidDel="00000000" w:rsidP="00000000" w:rsidRDefault="00000000" w:rsidRPr="00000000" w14:paraId="000000AC">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color w:val="000000"/>
              </w:rPr>
            </w:pPr>
            <w:r w:rsidDel="00000000" w:rsidR="00000000" w:rsidRPr="00000000">
              <w:rPr>
                <w:rFonts w:ascii="Arial" w:cs="Arial" w:eastAsia="Arial" w:hAnsi="Arial"/>
                <w:color w:val="000000"/>
                <w:sz w:val="24"/>
                <w:szCs w:val="24"/>
                <w:rtl w:val="0"/>
              </w:rPr>
              <w:t xml:space="preserve">reasonable recruitment costs, as agreed with the Buyer; </w:t>
            </w:r>
            <w:r w:rsidDel="00000000" w:rsidR="00000000" w:rsidRPr="00000000">
              <w:rPr>
                <w:rtl w:val="0"/>
              </w:rPr>
            </w:r>
          </w:p>
          <w:p w:rsidR="00000000" w:rsidDel="00000000" w:rsidP="00000000" w:rsidRDefault="00000000" w:rsidRPr="00000000" w14:paraId="000000AD">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AE">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AF">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costs described in a) to d) above shall exclude: </w:t>
            </w:r>
          </w:p>
          <w:p w:rsidR="00000000" w:rsidDel="00000000" w:rsidP="00000000" w:rsidRDefault="00000000" w:rsidRPr="00000000" w14:paraId="000000B1">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34" w:right="21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Overhead;</w:t>
            </w:r>
            <w:r w:rsidDel="00000000" w:rsidR="00000000" w:rsidRPr="00000000">
              <w:rPr>
                <w:rtl w:val="0"/>
              </w:rPr>
            </w:r>
          </w:p>
          <w:p w:rsidR="00000000" w:rsidDel="00000000" w:rsidP="00000000" w:rsidRDefault="00000000" w:rsidRPr="00000000" w14:paraId="000000B2">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34" w:right="21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financing or similar costs;</w:t>
            </w:r>
            <w:r w:rsidDel="00000000" w:rsidR="00000000" w:rsidRPr="00000000">
              <w:rPr>
                <w:rtl w:val="0"/>
              </w:rPr>
            </w:r>
          </w:p>
          <w:p w:rsidR="00000000" w:rsidDel="00000000" w:rsidP="00000000" w:rsidRDefault="00000000" w:rsidRPr="00000000" w14:paraId="000000B3">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34" w:right="21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maintenance and support costs to the extent that these relate to maintenance and/or support Deliverables provided beyond the Call-Off Contract Period whether in relation to Supplier Assets or otherwise;</w:t>
            </w:r>
            <w:r w:rsidDel="00000000" w:rsidR="00000000" w:rsidRPr="00000000">
              <w:rPr>
                <w:rtl w:val="0"/>
              </w:rPr>
            </w:r>
          </w:p>
          <w:p w:rsidR="00000000" w:rsidDel="00000000" w:rsidP="00000000" w:rsidRDefault="00000000" w:rsidRPr="00000000" w14:paraId="000000B4">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34" w:right="21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taxation;</w:t>
            </w:r>
            <w:r w:rsidDel="00000000" w:rsidR="00000000" w:rsidRPr="00000000">
              <w:rPr>
                <w:rtl w:val="0"/>
              </w:rPr>
            </w:r>
          </w:p>
          <w:p w:rsidR="00000000" w:rsidDel="00000000" w:rsidP="00000000" w:rsidRDefault="00000000" w:rsidRPr="00000000" w14:paraId="000000B5">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34" w:right="21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fines and penalties;</w:t>
            </w:r>
            <w:r w:rsidDel="00000000" w:rsidR="00000000" w:rsidRPr="00000000">
              <w:rPr>
                <w:rtl w:val="0"/>
              </w:rPr>
            </w:r>
          </w:p>
          <w:p w:rsidR="00000000" w:rsidDel="00000000" w:rsidP="00000000" w:rsidRDefault="00000000" w:rsidRPr="00000000" w14:paraId="000000B6">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34" w:right="21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Call-Off Schedule 16 (Benchmarking) where such Schedule is used; and</w:t>
            </w:r>
            <w:r w:rsidDel="00000000" w:rsidR="00000000" w:rsidRPr="00000000">
              <w:rPr>
                <w:rtl w:val="0"/>
              </w:rPr>
            </w:r>
          </w:p>
          <w:p w:rsidR="00000000" w:rsidDel="00000000" w:rsidP="00000000" w:rsidRDefault="00000000" w:rsidRPr="00000000" w14:paraId="000000B7">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34" w:right="21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non-cash items (including depreciation, amortisation, impairments and movements in provisions);</w:t>
            </w:r>
            <w:r w:rsidDel="00000000" w:rsidR="00000000" w:rsidRPr="00000000">
              <w:rPr>
                <w:rtl w:val="0"/>
              </w:rPr>
            </w:r>
          </w:p>
        </w:tc>
      </w:tr>
      <w:tr>
        <w:trPr>
          <w:cantSplit w:val="0"/>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br w:type="textWrapping"/>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Deliverables under a Statement of Work) including the Documentation; </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“Dependent Parent Undertaking”</w:t>
            </w:r>
            <w:r w:rsidDel="00000000" w:rsidR="00000000" w:rsidRPr="00000000">
              <w:rPr>
                <w:rtl w:val="0"/>
              </w:rPr>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“Disbursements”</w:t>
            </w:r>
            <w:r w:rsidDel="00000000" w:rsidR="00000000" w:rsidRPr="00000000">
              <w:rPr>
                <w:rtl w:val="0"/>
              </w:rPr>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costs or expenses paid or to be paid to a third party on behalf of the Buyer (including any VAT), save for office expenses such as postage and courier fees;</w:t>
            </w:r>
            <w:r w:rsidDel="00000000" w:rsidR="00000000" w:rsidRPr="00000000">
              <w:rPr>
                <w:rtl w:val="0"/>
              </w:rPr>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DF">
            <w:pPr>
              <w:keepNext w:val="0"/>
              <w:keepLines w:val="0"/>
              <w:widowControl w:val="1"/>
              <w:numPr>
                <w:ilvl w:val="0"/>
                <w:numId w:val="9"/>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01" w:right="214" w:hanging="36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required by the Supplier in order to provide the Deliverables; and/or</w:t>
            </w:r>
            <w:r w:rsidDel="00000000" w:rsidR="00000000" w:rsidRPr="00000000">
              <w:rPr>
                <w:rtl w:val="0"/>
              </w:rPr>
            </w:r>
          </w:p>
          <w:p w:rsidR="00000000" w:rsidDel="00000000" w:rsidP="00000000" w:rsidRDefault="00000000" w:rsidRPr="00000000" w14:paraId="000000E0">
            <w:pPr>
              <w:keepNext w:val="0"/>
              <w:keepLines w:val="0"/>
              <w:widowControl w:val="1"/>
              <w:numPr>
                <w:ilvl w:val="0"/>
                <w:numId w:val="9"/>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01" w:right="214" w:hanging="36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or shall be generated for the purpose of providing the Deliverables;</w:t>
            </w:r>
            <w:r w:rsidDel="00000000" w:rsidR="00000000" w:rsidRPr="00000000">
              <w:rPr>
                <w:rtl w:val="0"/>
              </w:rPr>
            </w:r>
          </w:p>
        </w:tc>
      </w:tr>
      <w:tr>
        <w:trPr>
          <w:cantSplit w:val="0"/>
          <w:tblHeader w:val="0"/>
        </w:trPr>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F1">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firstLine="0"/>
              <w:jc w:val="both"/>
              <w:rPr>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F2">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firstLine="0"/>
              <w:jc w:val="both"/>
              <w:rPr>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left" w:leader="none" w:pos="-17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FA">
      <w:pPr>
        <w:widowControl w:val="0"/>
        <w:pBdr>
          <w:top w:space="0" w:sz="0" w:val="nil"/>
          <w:left w:space="0" w:sz="0" w:val="nil"/>
          <w:bottom w:space="0" w:sz="0" w:val="nil"/>
          <w:right w:space="0" w:sz="0" w:val="nil"/>
          <w:between w:space="0" w:sz="0" w:val="nil"/>
        </w:pBdr>
        <w:spacing w:after="0" w:lineRule="auto"/>
        <w:ind w:left="141" w:firstLine="0"/>
        <w:rPr>
          <w:rFonts w:ascii="Arial" w:cs="Arial" w:eastAsia="Arial" w:hAnsi="Arial"/>
          <w:color w:val="000000"/>
          <w:sz w:val="24"/>
          <w:szCs w:val="24"/>
        </w:rPr>
      </w:pPr>
      <w:r w:rsidDel="00000000" w:rsidR="00000000" w:rsidRPr="00000000">
        <w:rPr>
          <w:rtl w:val="0"/>
        </w:rPr>
      </w:r>
    </w:p>
    <w:tbl>
      <w:tblPr>
        <w:tblStyle w:val="Table2"/>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680"/>
        <w:tblGridChange w:id="0">
          <w:tblGrid>
            <w:gridCol w:w="2400"/>
            <w:gridCol w:w="768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leader="none" w:pos="-17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leader="none" w:pos="-17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leader="none" w:pos="-17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leader="none" w:pos="-17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Buyer</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line="276"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102">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eligible to use the Framework Contract; and</w:t>
            </w:r>
            <w:r w:rsidDel="00000000" w:rsidR="00000000" w:rsidRPr="00000000">
              <w:rPr>
                <w:rtl w:val="0"/>
              </w:rPr>
            </w:r>
          </w:p>
          <w:p w:rsidR="00000000" w:rsidDel="00000000" w:rsidP="00000000" w:rsidRDefault="00000000" w:rsidRPr="00000000" w14:paraId="00000103">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104">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Regulations;</w:t>
            </w:r>
            <w:r w:rsidDel="00000000" w:rsidR="00000000" w:rsidRPr="00000000">
              <w:rPr>
                <w:rtl w:val="0"/>
              </w:rPr>
            </w:r>
          </w:p>
          <w:p w:rsidR="00000000" w:rsidDel="00000000" w:rsidP="00000000" w:rsidRDefault="00000000" w:rsidRPr="00000000" w14:paraId="00000105">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r w:rsidDel="00000000" w:rsidR="00000000" w:rsidRPr="00000000">
              <w:rPr>
                <w:rtl w:val="0"/>
              </w:rPr>
            </w:r>
          </w:p>
          <w:p w:rsidR="00000000" w:rsidDel="00000000" w:rsidP="00000000" w:rsidRDefault="00000000" w:rsidRPr="00000000" w14:paraId="00000106">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r w:rsidDel="00000000" w:rsidR="00000000" w:rsidRPr="00000000">
              <w:rPr>
                <w:rtl w:val="0"/>
              </w:rPr>
            </w:r>
          </w:p>
          <w:p w:rsidR="00000000" w:rsidDel="00000000" w:rsidP="00000000" w:rsidRDefault="00000000" w:rsidRPr="00000000" w14:paraId="00000107">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108">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Remedies Directive (2007/66/EC);</w:t>
            </w:r>
            <w:r w:rsidDel="00000000" w:rsidR="00000000" w:rsidRPr="00000000">
              <w:rPr>
                <w:rtl w:val="0"/>
              </w:rPr>
            </w:r>
          </w:p>
          <w:p w:rsidR="00000000" w:rsidDel="00000000" w:rsidP="00000000" w:rsidRDefault="00000000" w:rsidRPr="00000000" w14:paraId="00000109">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10A">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10B">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10C">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2009/81/EC of the European Parliament and Council;</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Call-off Contract</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200" w:line="276"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Procurement Amendments</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200" w:line="276"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11">
      <w:pPr>
        <w:widowControl w:val="0"/>
        <w:pBdr>
          <w:top w:space="0" w:sz="0" w:val="nil"/>
          <w:left w:space="0" w:sz="0" w:val="nil"/>
          <w:bottom w:space="0" w:sz="0" w:val="nil"/>
          <w:right w:space="0" w:sz="0" w:val="nil"/>
          <w:between w:space="0" w:sz="0" w:val="nil"/>
        </w:pBdr>
        <w:spacing w:after="0" w:lineRule="auto"/>
        <w:ind w:left="141" w:firstLine="0"/>
        <w:rPr>
          <w:rFonts w:ascii="Arial" w:cs="Arial" w:eastAsia="Arial" w:hAnsi="Arial"/>
          <w:color w:val="000000"/>
          <w:sz w:val="24"/>
          <w:szCs w:val="24"/>
        </w:rPr>
      </w:pPr>
      <w:r w:rsidDel="00000000" w:rsidR="00000000" w:rsidRPr="00000000">
        <w:rPr>
          <w:rtl w:val="0"/>
        </w:rPr>
      </w:r>
    </w:p>
    <w:tbl>
      <w:tblPr>
        <w:tblStyle w:val="Table3"/>
        <w:tblW w:w="99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7515"/>
        <w:tblGridChange w:id="0">
          <w:tblGrid>
            <w:gridCol w:w="2445"/>
            <w:gridCol w:w="7515"/>
          </w:tblGrid>
        </w:tblGridChange>
      </w:tblGrid>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“Expression of Interest”</w:t>
            </w:r>
            <w:r w:rsidDel="00000000" w:rsidR="00000000" w:rsidRPr="00000000">
              <w:rPr>
                <w:rtl w:val="0"/>
              </w:rPr>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 invitation to capable Suppliers to express an interest in bidding for the work as part of a Further Competition Procedure or to decline the opportunity prior to the Further Competition Procedure commencing.  Suppliers who decline an Expression of Interest invitation will not be invited to take part in the corresponding Further Competition Procedure unless the scope or timings of this have substantially changed from the point the Expression of Interest was issued;</w:t>
            </w:r>
            <w:r w:rsidDel="00000000" w:rsidR="00000000" w:rsidRPr="00000000">
              <w:rPr>
                <w:rtl w:val="0"/>
              </w:rPr>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“Fixed Price”</w:t>
            </w:r>
            <w:r w:rsidDel="00000000" w:rsidR="00000000" w:rsidRPr="00000000">
              <w:rPr>
                <w:rtl w:val="0"/>
              </w:rPr>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Pricing Mechanism where Charges are agreed at a set amount in relation to a Contract, Deliverable(s) (or one or more element of the Deliverable(s)) or Milestones and the amount to be paid by the Buyer will not exceed the agreed fixed price;</w:t>
            </w:r>
            <w:r w:rsidDel="00000000" w:rsidR="00000000" w:rsidRPr="00000000">
              <w:rPr>
                <w:rtl w:val="0"/>
              </w:rPr>
            </w:r>
          </w:p>
        </w:tc>
      </w:tr>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22">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firstLine="0"/>
              <w:jc w:val="both"/>
              <w:rPr>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23">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firstLine="0"/>
              <w:jc w:val="both"/>
              <w:rPr>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24">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firstLine="0"/>
              <w:jc w:val="both"/>
              <w:rPr>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25">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firstLine="0"/>
              <w:jc w:val="both"/>
              <w:rPr>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35">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as set out in section 3(10) of the Data Protection Act 2018, supplemented by section 205(4);</w:t>
            </w:r>
          </w:p>
        </w:tc>
      </w:tr>
      <w:tr>
        <w:trPr>
          <w:cantSplit w:val="0"/>
          <w:tblHeader w:val="0"/>
        </w:trPr>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42">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the legislation in Part 5 of the Finance Act 2013 and; </w:t>
            </w:r>
          </w:p>
          <w:p w:rsidR="00000000" w:rsidDel="00000000" w:rsidP="00000000" w:rsidRDefault="00000000" w:rsidRPr="00000000" w14:paraId="00000143">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4E">
            <w:pPr>
              <w:numPr>
                <w:ilvl w:val="2"/>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color w:val="000000"/>
              </w:rPr>
            </w:pPr>
            <w:r w:rsidDel="00000000" w:rsidR="00000000" w:rsidRPr="00000000">
              <w:rPr>
                <w:rFonts w:ascii="Arial" w:cs="Arial" w:eastAsia="Arial" w:hAnsi="Arial"/>
                <w:color w:val="000000"/>
                <w:sz w:val="24"/>
                <w:szCs w:val="24"/>
                <w:rtl w:val="0"/>
              </w:rPr>
              <w:t xml:space="preserve">are supplied to the Supplier by or on behalf of the Authority; or</w:t>
            </w:r>
            <w:r w:rsidDel="00000000" w:rsidR="00000000" w:rsidRPr="00000000">
              <w:rPr>
                <w:rtl w:val="0"/>
              </w:rPr>
            </w:r>
          </w:p>
          <w:p w:rsidR="00000000" w:rsidDel="00000000" w:rsidP="00000000" w:rsidRDefault="00000000" w:rsidRPr="00000000" w14:paraId="0000014F">
            <w:pPr>
              <w:numPr>
                <w:ilvl w:val="2"/>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color w:val="000000"/>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r w:rsidDel="00000000" w:rsidR="00000000" w:rsidRPr="00000000">
              <w:rPr>
                <w:rtl w:val="0"/>
              </w:rPr>
            </w:r>
          </w:p>
        </w:tc>
      </w:tr>
      <w:tr>
        <w:trPr>
          <w:cantSplit w:val="0"/>
          <w:tblHeader w:val="0"/>
        </w:trPr>
        <w:tc>
          <w:tcPr/>
          <w:p w:rsidR="00000000" w:rsidDel="00000000" w:rsidP="00000000" w:rsidRDefault="00000000" w:rsidRPr="00000000" w14:paraId="00000150">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5A">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5B">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5C">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5D">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5E">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7C">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7F">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80">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81">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“Inward Exchange”</w:t>
            </w:r>
          </w:p>
        </w:tc>
        <w:tc>
          <w:tcPr/>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exchange of Buyer’s Personnel from the Buyer to the Supplier in accordance with the Secondment Agreement;</w:t>
            </w:r>
          </w:p>
        </w:tc>
      </w:tr>
      <w:tr>
        <w:trPr>
          <w:cantSplit w:val="0"/>
          <w:tblHeader w:val="0"/>
        </w:trPr>
        <w:tc>
          <w:tcPr/>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action, suit, claim, demand, Loss or other liability which the Relevant Authority or Central Government Body may suffer or incur as a result of any claim that the performance of the Deliverables infringes or allegedly infringes (including the defence of such infringement or alleged infringement) of any third party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6">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94">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95">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96">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21 of the Framework Award Form and in the Key Subcontractor Section in Order Form;</w:t>
            </w:r>
          </w:p>
        </w:tc>
      </w:tr>
      <w:tr>
        <w:trPr>
          <w:cantSplit w:val="0"/>
          <w:tblHeader w:val="0"/>
        </w:trPr>
        <w:tc>
          <w:tcPr/>
          <w:p w:rsidR="00000000" w:rsidDel="00000000" w:rsidP="00000000" w:rsidRDefault="00000000" w:rsidRPr="00000000" w14:paraId="00000198">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and professional fees), disbursements, costs of investigation, litigation, settlement, judgment, interest, fines and penalties (including regulatory penalties, fines and expenses)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construed accordingly; </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A8">
            <w:pPr>
              <w:numPr>
                <w:ilvl w:val="1"/>
                <w:numId w:val="2"/>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A9">
            <w:pPr>
              <w:numPr>
                <w:ilvl w:val="1"/>
                <w:numId w:val="2"/>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AA">
            <w:pPr>
              <w:numPr>
                <w:ilvl w:val="1"/>
                <w:numId w:val="2"/>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141" w:right="144" w:firstLine="0"/>
              <w:rPr>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 or Order Form;</w:t>
            </w:r>
          </w:p>
        </w:tc>
      </w:tr>
      <w:tr>
        <w:trPr>
          <w:cantSplit w:val="0"/>
          <w:tblHeader w:val="0"/>
        </w:trPr>
        <w:tc>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B8">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B9">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BD">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BE">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color w:val="000000"/>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r w:rsidDel="00000000" w:rsidR="00000000" w:rsidRPr="00000000">
              <w:rPr>
                <w:rtl w:val="0"/>
              </w:rPr>
            </w:r>
          </w:p>
          <w:p w:rsidR="00000000" w:rsidDel="00000000" w:rsidP="00000000" w:rsidRDefault="00000000" w:rsidRPr="00000000" w14:paraId="000001BF">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color w:val="000000"/>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r w:rsidDel="00000000" w:rsidR="00000000" w:rsidRPr="00000000">
              <w:rPr>
                <w:rtl w:val="0"/>
              </w:rPr>
            </w:r>
          </w:p>
          <w:p w:rsidR="00000000" w:rsidDel="00000000" w:rsidP="00000000" w:rsidRDefault="00000000" w:rsidRPr="00000000" w14:paraId="000001C0">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C3">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C4">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C5">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color w:val="000000"/>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r w:rsidDel="00000000" w:rsidR="00000000" w:rsidRPr="00000000">
              <w:rPr>
                <w:rtl w:val="0"/>
              </w:rPr>
            </w:r>
          </w:p>
          <w:p w:rsidR="00000000" w:rsidDel="00000000" w:rsidP="00000000" w:rsidRDefault="00000000" w:rsidRPr="00000000" w14:paraId="000001C6">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color w:val="000000"/>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r w:rsidDel="00000000" w:rsidR="00000000" w:rsidRPr="00000000">
              <w:rPr>
                <w:rtl w:val="0"/>
              </w:rPr>
            </w:r>
          </w:p>
          <w:p w:rsidR="00000000" w:rsidDel="00000000" w:rsidP="00000000" w:rsidRDefault="00000000" w:rsidRPr="00000000" w14:paraId="000001C7">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color w:val="000000"/>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r w:rsidDel="00000000" w:rsidR="00000000" w:rsidRPr="00000000">
              <w:rPr>
                <w:rtl w:val="0"/>
              </w:rPr>
            </w:r>
          </w:p>
          <w:p w:rsidR="00000000" w:rsidDel="00000000" w:rsidP="00000000" w:rsidRDefault="00000000" w:rsidRPr="00000000" w14:paraId="000001C8">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color w:val="000000"/>
              </w:rPr>
            </w:pPr>
            <w:r w:rsidDel="00000000" w:rsidR="00000000" w:rsidRPr="00000000">
              <w:rPr>
                <w:rFonts w:ascii="Arial" w:cs="Arial" w:eastAsia="Arial" w:hAnsi="Arial"/>
                <w:color w:val="000000"/>
                <w:sz w:val="24"/>
                <w:szCs w:val="24"/>
                <w:rtl w:val="0"/>
              </w:rPr>
              <w:t xml:space="preserve">Reimbursable Expenses, if allowed under the Order Form; </w:t>
            </w:r>
            <w:r w:rsidDel="00000000" w:rsidR="00000000" w:rsidRPr="00000000">
              <w:rPr>
                <w:rtl w:val="0"/>
              </w:rPr>
            </w:r>
          </w:p>
          <w:p w:rsidR="00000000" w:rsidDel="00000000" w:rsidP="00000000" w:rsidRDefault="00000000" w:rsidRPr="00000000" w14:paraId="000001C9">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CA">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CB">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CC">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CD">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CE">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 </w:t>
            </w:r>
          </w:p>
        </w:tc>
      </w:tr>
      <w:tr>
        <w:trPr>
          <w:cantSplit w:val="0"/>
          <w:tblHeader w:val="0"/>
        </w:trPr>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“Outward Exchange”</w:t>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exchange of Supplier Staff from the Supplier to the Buyer in accordance with the Secondment Agreement;</w:t>
            </w:r>
          </w:p>
        </w:tc>
      </w:tr>
      <w:tr>
        <w:trPr>
          <w:cantSplit w:val="0"/>
          <w:tblHeader w:val="0"/>
        </w:trPr>
        <w:tc>
          <w:tcPr/>
          <w:p w:rsidR="00000000" w:rsidDel="00000000" w:rsidP="00000000" w:rsidRDefault="00000000" w:rsidRPr="00000000" w14:paraId="000001D9">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DB">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1DD">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E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that results, or may result, in unauthorised access to Personal Data held under this Contract, and/or actual or potential loss and/or destruction of Personal Data in breach of this Contract, including any Personal Data Breach as defined by UK GDPR;</w:t>
            </w:r>
          </w:p>
        </w:tc>
      </w:tr>
      <w:tr>
        <w:trPr>
          <w:cantSplit w:val="0"/>
          <w:tblHeader w:val="0"/>
        </w:trPr>
        <w:tc>
          <w:tcPr/>
          <w:p w:rsidR="00000000" w:rsidDel="00000000" w:rsidP="00000000" w:rsidRDefault="00000000" w:rsidRPr="00000000" w14:paraId="000001E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E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7">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“Pricing Mechanism”</w:t>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pricing mechanism including but not limited to those set out in Framework Schedule 3 (Framework Prices), and if applicable as set out by the Buyer in the Order Form;</w:t>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FA">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FB">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color w:val="000000"/>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r w:rsidDel="00000000" w:rsidR="00000000" w:rsidRPr="00000000">
              <w:rPr>
                <w:rtl w:val="0"/>
              </w:rPr>
            </w:r>
          </w:p>
          <w:p w:rsidR="00000000" w:rsidDel="00000000" w:rsidP="00000000" w:rsidRDefault="00000000" w:rsidRPr="00000000" w14:paraId="000001FC">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color w:val="000000"/>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r w:rsidDel="00000000" w:rsidR="00000000" w:rsidRPr="00000000">
              <w:rPr>
                <w:rtl w:val="0"/>
              </w:rPr>
            </w:r>
          </w:p>
          <w:p w:rsidR="00000000" w:rsidDel="00000000" w:rsidP="00000000" w:rsidRDefault="00000000" w:rsidRPr="00000000" w14:paraId="000001FD">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FE">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FF">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color w:val="000000"/>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r w:rsidDel="00000000" w:rsidR="00000000" w:rsidRPr="00000000">
              <w:rPr>
                <w:rtl w:val="0"/>
              </w:rPr>
            </w:r>
          </w:p>
          <w:p w:rsidR="00000000" w:rsidDel="00000000" w:rsidP="00000000" w:rsidRDefault="00000000" w:rsidRPr="00000000" w14:paraId="00000200">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color w:val="000000"/>
              </w:rPr>
            </w:pPr>
            <w:r w:rsidDel="00000000" w:rsidR="00000000" w:rsidRPr="00000000">
              <w:rPr>
                <w:rFonts w:ascii="Arial" w:cs="Arial" w:eastAsia="Arial" w:hAnsi="Arial"/>
                <w:color w:val="000000"/>
                <w:sz w:val="24"/>
                <w:szCs w:val="24"/>
                <w:rtl w:val="0"/>
              </w:rPr>
              <w:t xml:space="preserve">under legislation or common law concerning fraudulent acts; or</w:t>
            </w:r>
            <w:r w:rsidDel="00000000" w:rsidR="00000000" w:rsidRPr="00000000">
              <w:rPr>
                <w:rtl w:val="0"/>
              </w:rPr>
            </w:r>
          </w:p>
          <w:p w:rsidR="00000000" w:rsidDel="00000000" w:rsidP="00000000" w:rsidRDefault="00000000" w:rsidRPr="00000000" w14:paraId="00000201">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color w:val="000000"/>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r w:rsidDel="00000000" w:rsidR="00000000" w:rsidRPr="00000000">
              <w:rPr>
                <w:rtl w:val="0"/>
              </w:rPr>
            </w:r>
          </w:p>
          <w:p w:rsidR="00000000" w:rsidDel="00000000" w:rsidP="00000000" w:rsidRDefault="00000000" w:rsidRPr="00000000" w14:paraId="00000202">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20B">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20C">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20D">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“Regulatory Compliance”</w:t>
            </w:r>
          </w:p>
        </w:tc>
        <w:tc>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shall at all times be supplied in accordance with, amongst other things:</w:t>
            </w:r>
          </w:p>
          <w:p w:rsidR="00000000" w:rsidDel="00000000" w:rsidP="00000000" w:rsidRDefault="00000000" w:rsidRPr="00000000" w14:paraId="00000214">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4" w:hanging="258"/>
              <w:jc w:val="both"/>
              <w:rPr>
                <w:sz w:val="24"/>
                <w:szCs w:val="24"/>
              </w:rPr>
            </w:pPr>
            <w:r w:rsidDel="00000000" w:rsidR="00000000" w:rsidRPr="00000000">
              <w:rPr>
                <w:rFonts w:ascii="Arial" w:cs="Arial" w:eastAsia="Arial" w:hAnsi="Arial"/>
                <w:color w:val="000000"/>
                <w:sz w:val="24"/>
                <w:szCs w:val="24"/>
                <w:rtl w:val="0"/>
              </w:rPr>
              <w:t xml:space="preserve">the legal and professional practice rules, codes, principles and proper interpretation of the law and court decisions in existence in the applicable jurisdiction at the date on which the Deliverable (or element of the Deliverables) is supplied to the Buyer; and</w:t>
            </w:r>
          </w:p>
          <w:p w:rsidR="00000000" w:rsidDel="00000000" w:rsidP="00000000" w:rsidRDefault="00000000" w:rsidRPr="00000000" w14:paraId="00000215">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the standards of professionalism expected by the professional body that registers and authorises individuals (for example, solicitors, registered European lawyers and registered foreign lawyers) and firms of solicitors (or equivalents) to practice and provide legal services in the applicable jurisdiction;</w:t>
            </w:r>
          </w:p>
        </w:tc>
      </w:tr>
      <w:tr>
        <w:trPr>
          <w:cantSplit w:val="0"/>
          <w:tblHeader w:val="0"/>
        </w:trPr>
        <w:tc>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18">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19">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1D">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1E">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1F">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76" w:lineRule="auto"/>
              <w:ind w:left="432" w:right="144" w:hanging="258"/>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the above;</w:t>
            </w:r>
            <w:r w:rsidDel="00000000" w:rsidR="00000000" w:rsidRPr="00000000">
              <w:rPr>
                <w:rtl w:val="0"/>
              </w:rPr>
            </w:r>
          </w:p>
        </w:tc>
      </w:tr>
      <w:tr>
        <w:trPr>
          <w:cantSplit w:val="0"/>
          <w:tblHeader w:val="0"/>
        </w:trPr>
        <w:tc>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22">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28">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“Secondment”</w:t>
            </w:r>
          </w:p>
        </w:tc>
        <w:tc>
          <w:tcPr/>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temporary transfer of one or more Supplier Staff from the Supplier to the Buyer to another position or employment, in accordance with the Secondment Agreement for the Secondment Charge; and “</w:t>
            </w:r>
            <w:r w:rsidDel="00000000" w:rsidR="00000000" w:rsidRPr="00000000">
              <w:rPr>
                <w:rFonts w:ascii="Arial" w:cs="Arial" w:eastAsia="Arial" w:hAnsi="Arial"/>
                <w:b w:val="1"/>
                <w:color w:val="000000"/>
                <w:sz w:val="24"/>
                <w:szCs w:val="24"/>
                <w:rtl w:val="0"/>
              </w:rPr>
              <w:t xml:space="preserve">Secondee</w:t>
            </w:r>
            <w:r w:rsidDel="00000000" w:rsidR="00000000" w:rsidRPr="00000000">
              <w:rPr>
                <w:rFonts w:ascii="Arial" w:cs="Arial" w:eastAsia="Arial" w:hAnsi="Arial"/>
                <w:color w:val="000000"/>
                <w:sz w:val="24"/>
                <w:szCs w:val="24"/>
                <w:rtl w:val="0"/>
              </w:rPr>
              <w:t xml:space="preserve">” is a person on a Secondment;</w:t>
            </w:r>
          </w:p>
        </w:tc>
      </w:tr>
      <w:tr>
        <w:trPr>
          <w:cantSplit w:val="0"/>
          <w:tblHeader w:val="0"/>
        </w:trPr>
        <w:tc>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“Secondment Agreement”</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entered into between the Supplier and Buyer regarding an Inward Exchange or an Outward Exchange or a Secondment which shall be in the form and format of Call-Off Schedule 25 (Secondment Agreement Template);</w:t>
            </w:r>
          </w:p>
        </w:tc>
      </w:tr>
      <w:tr>
        <w:trPr>
          <w:cantSplit w:val="0"/>
          <w:tblHeader w:val="0"/>
        </w:trPr>
        <w:tc>
          <w:tcPr/>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“Secondment Charge”</w:t>
            </w:r>
          </w:p>
        </w:tc>
        <w:tc>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 agreed between the Buyer and the Supplier as set out in the Order Form (exclusive of VAT) for Supplier Staff on a Secondment;</w:t>
            </w:r>
          </w:p>
        </w:tc>
      </w:tr>
      <w:tr>
        <w:trPr>
          <w:cantSplit w:val="0"/>
          <w:tblHeader w:val="0"/>
        </w:trPr>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Call-Off Contract (which, where Call-Off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44">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46">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4C">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4D">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“SOW End Date”</w:t>
            </w:r>
          </w:p>
        </w:tc>
        <w:tc>
          <w:tcPr/>
          <w:p w:rsidR="00000000" w:rsidDel="00000000" w:rsidP="00000000" w:rsidRDefault="00000000" w:rsidRPr="00000000" w14:paraId="00000251">
            <w:pPr>
              <w:pBdr>
                <w:top w:space="0" w:sz="0" w:val="nil"/>
                <w:left w:space="0" w:sz="0" w:val="nil"/>
                <w:bottom w:space="0" w:sz="0" w:val="nil"/>
                <w:right w:space="0" w:sz="0" w:val="nil"/>
                <w:between w:space="0" w:sz="0" w:val="nil"/>
              </w:pBdr>
              <w:tabs>
                <w:tab w:val="left" w:leader="none" w:pos="-179"/>
                <w:tab w:val="left" w:leader="none" w:pos="-9"/>
                <w:tab w:val="left" w:leader="none" w:pos="623"/>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End Date as set out in the Statement of Work which may or may not be the same as the Contract End Date;</w:t>
            </w:r>
          </w:p>
        </w:tc>
      </w:tr>
      <w:tr>
        <w:trPr>
          <w:cantSplit w:val="0"/>
          <w:trHeight w:val="945" w:hRule="atLeast"/>
          <w:tblHeader w:val="0"/>
        </w:trPr>
        <w:tc>
          <w:tcPr/>
          <w:p w:rsidR="00000000" w:rsidDel="00000000" w:rsidP="00000000" w:rsidRDefault="00000000" w:rsidRPr="00000000" w14:paraId="0000025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“SOW Start Date”</w:t>
            </w:r>
          </w:p>
        </w:tc>
        <w:tc>
          <w:tcPr/>
          <w:p w:rsidR="00000000" w:rsidDel="00000000" w:rsidP="00000000" w:rsidRDefault="00000000" w:rsidRPr="00000000" w14:paraId="000002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Start Date as set out in the Statement of Work which may or may not be the same as the Contract Start Date;</w:t>
            </w:r>
          </w:p>
        </w:tc>
      </w:tr>
      <w:tr>
        <w:trPr>
          <w:cantSplit w:val="0"/>
          <w:trHeight w:val="945" w:hRule="atLeast"/>
          <w:tblHeader w:val="0"/>
        </w:trPr>
        <w:tc>
          <w:tcPr/>
          <w:p w:rsidR="00000000" w:rsidDel="00000000" w:rsidP="00000000" w:rsidRDefault="00000000" w:rsidRPr="00000000" w14:paraId="0000025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5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5C">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5D">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5E">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5F">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6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62">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64">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Work” or “SOW”</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Annex to the Order Form which, upon its execution by the Buyer and Supplier, shall become incorporated into their Call-Off Contract and it outlines the agreed body of works to be undertaken as part of the Call-Off Contract Deliverables. There may be any number of Statements of Work Annexed to the Order Form incorporated into a Call-Off Contract and each Statement of Work may include (but is not limited to) the Statement of Requirements, identified output(s), completion date(s) and charging method(s);</w:t>
            </w:r>
          </w:p>
        </w:tc>
      </w:tr>
      <w:tr>
        <w:trPr>
          <w:cantSplit w:val="0"/>
          <w:tblHeader w:val="0"/>
        </w:trP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68">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6A">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6B">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6C">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6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7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2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27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2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 and</w:t>
            </w:r>
            <w:r w:rsidDel="00000000" w:rsidR="00000000" w:rsidRPr="00000000">
              <w:rPr>
                <w:rtl w:val="0"/>
              </w:rPr>
            </w:r>
          </w:p>
        </w:tc>
      </w:tr>
      <w:tr>
        <w:trPr>
          <w:cantSplit w:val="0"/>
          <w:tblHeader w:val="0"/>
        </w:trPr>
        <w:tc>
          <w:tcPr/>
          <w:p w:rsidR="00000000" w:rsidDel="00000000" w:rsidP="00000000" w:rsidRDefault="00000000" w:rsidRPr="00000000" w14:paraId="0000027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7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7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7C">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7D">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7E">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80">
            <w:pPr>
              <w:pBdr>
                <w:top w:space="0" w:sz="0" w:val="nil"/>
                <w:left w:space="0" w:sz="0" w:val="nil"/>
                <w:bottom w:space="0" w:sz="0" w:val="nil"/>
                <w:right w:space="0" w:sz="0" w:val="nil"/>
                <w:between w:space="0" w:sz="0" w:val="nil"/>
              </w:pBdr>
              <w:tabs>
                <w:tab w:val="left" w:leader="none" w:pos="1134"/>
              </w:tabs>
              <w:spacing w:after="120" w:before="120" w:lineRule="auto"/>
              <w:ind w:left="141" w:right="144"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8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8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87">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88">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89">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8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Relationship Manager”</w:t>
            </w:r>
            <w:r w:rsidDel="00000000" w:rsidR="00000000" w:rsidRPr="00000000">
              <w:rPr>
                <w:rtl w:val="0"/>
              </w:rPr>
            </w:r>
          </w:p>
        </w:tc>
        <w:tc>
          <w:tcPr/>
          <w:p w:rsidR="00000000" w:rsidDel="00000000" w:rsidP="00000000" w:rsidRDefault="00000000" w:rsidRPr="00000000" w14:paraId="0000028F">
            <w:pPr>
              <w:ind w:firstLine="102"/>
              <w:rPr>
                <w:rFonts w:ascii="Arial" w:cs="Arial" w:eastAsia="Arial" w:hAnsi="Arial"/>
                <w:sz w:val="24"/>
                <w:szCs w:val="24"/>
              </w:rPr>
            </w:pPr>
            <w:r w:rsidDel="00000000" w:rsidR="00000000" w:rsidRPr="00000000">
              <w:rPr>
                <w:rFonts w:ascii="Arial" w:cs="Arial" w:eastAsia="Arial" w:hAnsi="Arial"/>
                <w:sz w:val="24"/>
                <w:szCs w:val="24"/>
                <w:rtl w:val="0"/>
              </w:rPr>
              <w:t xml:space="preserve">the individual appointed by the Government Legal Department whose role encompasses:</w:t>
            </w:r>
          </w:p>
          <w:p w:rsidR="00000000" w:rsidDel="00000000" w:rsidP="00000000" w:rsidRDefault="00000000" w:rsidRPr="00000000" w14:paraId="00000290">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management of the relationship between the Buyers and suppliers appointed to the framework (including the Supplier) in order to deliver maximum value; and </w:t>
            </w:r>
            <w:r w:rsidDel="00000000" w:rsidR="00000000" w:rsidRPr="00000000">
              <w:rPr>
                <w:rtl w:val="0"/>
              </w:rPr>
            </w:r>
          </w:p>
          <w:p w:rsidR="00000000" w:rsidDel="00000000" w:rsidP="00000000" w:rsidRDefault="00000000" w:rsidRPr="00000000" w14:paraId="00000291">
            <w:pPr>
              <w:keepNext w:val="0"/>
              <w:keepLines w:val="0"/>
              <w:widowControl w:val="1"/>
              <w:numPr>
                <w:ilvl w:val="0"/>
                <w:numId w:val="8"/>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76" w:lineRule="auto"/>
              <w:ind w:left="720" w:right="14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collaboratively with the Supplier and Other Contracting Authorities to establish and maintain objectives to ensure strategic alignment in the provision of the Deliverables;</w:t>
            </w:r>
            <w:r w:rsidDel="00000000" w:rsidR="00000000" w:rsidRPr="00000000">
              <w:rPr>
                <w:rtl w:val="0"/>
              </w:rPr>
            </w:r>
          </w:p>
        </w:tc>
      </w:tr>
      <w:tr>
        <w:trPr>
          <w:cantSplit w:val="0"/>
          <w:tblHeader w:val="0"/>
        </w:trPr>
        <w:tc>
          <w:tcPr/>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9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9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97">
            <w:pPr>
              <w:numPr>
                <w:ilvl w:val="0"/>
                <w:numId w:val="3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98">
            <w:pPr>
              <w:numPr>
                <w:ilvl w:val="0"/>
                <w:numId w:val="3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99">
            <w:pPr>
              <w:numPr>
                <w:ilvl w:val="0"/>
                <w:numId w:val="3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9A">
            <w:pPr>
              <w:numPr>
                <w:ilvl w:val="0"/>
                <w:numId w:val="3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9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9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A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A2">
            <w:pPr>
              <w:numPr>
                <w:ilvl w:val="1"/>
                <w:numId w:val="7"/>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A3">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A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A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A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AA">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AB">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AC">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AD">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AE">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A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B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B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B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B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B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B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B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B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B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B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C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C3">
      <w:pPr>
        <w:spacing w:after="0" w:line="240" w:lineRule="auto"/>
        <w:rPr>
          <w:rFonts w:ascii="Arial" w:cs="Arial" w:eastAsia="Arial" w:hAnsi="Arial"/>
          <w:sz w:val="24"/>
          <w:szCs w:val="24"/>
        </w:rPr>
      </w:pPr>
      <w:bookmarkStart w:colFirst="0" w:colLast="0" w:name="_cg1dpftdgwe1" w:id="5"/>
      <w:bookmarkEnd w:id="5"/>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tab/>
      <w:t xml:space="preserve">                                           </w:t>
    </w:r>
  </w:p>
  <w:p w:rsidR="00000000" w:rsidDel="00000000" w:rsidP="00000000" w:rsidRDefault="00000000" w:rsidRPr="00000000" w14:paraId="000002C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 xml:space="preserve">.0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A">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v3.12</w:t>
      <w:tab/>
    </w:r>
    <w:r w:rsidDel="00000000" w:rsidR="00000000" w:rsidRPr="00000000">
      <w:rPr>
        <w:rFonts w:ascii="Arial" w:cs="Arial" w:eastAsia="Arial" w:hAnsi="Arial"/>
        <w:color w:val="bfbfbf"/>
        <w:sz w:val="20"/>
        <w:szCs w:val="20"/>
        <w:rtl w:val="0"/>
      </w:rPr>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B">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C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D">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C5">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2025</w:t>
    </w:r>
    <w:r w:rsidDel="00000000" w:rsidR="00000000" w:rsidRPr="00000000">
      <w:rPr>
        <w:rFonts w:ascii="Arial" w:cs="Arial" w:eastAsia="Arial" w:hAnsi="Arial"/>
        <w:color w:val="bfbfbf"/>
        <w:sz w:val="20"/>
        <w:szCs w:val="20"/>
        <w:rtl w:val="0"/>
      </w:rPr>
      <w:tab/>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C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2"/>
      <w:numFmt w:val="lowerLetter"/>
      <w:lvlText w:val="%1)"/>
      <w:lvlJc w:val="left"/>
      <w:pPr>
        <w:ind w:left="501" w:hanging="360"/>
      </w:pPr>
      <w:rPr>
        <w:sz w:val="22"/>
        <w:szCs w:val="22"/>
      </w:rPr>
    </w:lvl>
    <w:lvl w:ilvl="1">
      <w:start w:val="1"/>
      <w:numFmt w:val="lowerLetter"/>
      <w:lvlText w:val="%2."/>
      <w:lvlJc w:val="left"/>
      <w:pPr>
        <w:ind w:left="1221" w:hanging="360"/>
      </w:pPr>
      <w:rPr/>
    </w:lvl>
    <w:lvl w:ilvl="2">
      <w:start w:val="1"/>
      <w:numFmt w:val="lowerRoman"/>
      <w:lvlText w:val="%3."/>
      <w:lvlJc w:val="right"/>
      <w:pPr>
        <w:ind w:left="1941" w:hanging="180"/>
      </w:pPr>
      <w:rPr/>
    </w:lvl>
    <w:lvl w:ilvl="3">
      <w:start w:val="1"/>
      <w:numFmt w:val="decimal"/>
      <w:lvlText w:val="%4."/>
      <w:lvlJc w:val="left"/>
      <w:pPr>
        <w:ind w:left="2661" w:hanging="360"/>
      </w:pPr>
      <w:rPr/>
    </w:lvl>
    <w:lvl w:ilvl="4">
      <w:start w:val="1"/>
      <w:numFmt w:val="lowerLetter"/>
      <w:lvlText w:val="%5."/>
      <w:lvlJc w:val="left"/>
      <w:pPr>
        <w:ind w:left="3381" w:hanging="360"/>
      </w:pPr>
      <w:rPr/>
    </w:lvl>
    <w:lvl w:ilvl="5">
      <w:start w:val="1"/>
      <w:numFmt w:val="lowerRoman"/>
      <w:lvlText w:val="%6."/>
      <w:lvlJc w:val="right"/>
      <w:pPr>
        <w:ind w:left="4101" w:hanging="180"/>
      </w:pPr>
      <w:rPr/>
    </w:lvl>
    <w:lvl w:ilvl="6">
      <w:start w:val="1"/>
      <w:numFmt w:val="decimal"/>
      <w:lvlText w:val="%7."/>
      <w:lvlJc w:val="left"/>
      <w:pPr>
        <w:ind w:left="4821" w:hanging="360"/>
      </w:pPr>
      <w:rPr/>
    </w:lvl>
    <w:lvl w:ilvl="7">
      <w:start w:val="1"/>
      <w:numFmt w:val="lowerLetter"/>
      <w:lvlText w:val="%8."/>
      <w:lvlJc w:val="left"/>
      <w:pPr>
        <w:ind w:left="5541" w:hanging="360"/>
      </w:pPr>
      <w:rPr/>
    </w:lvl>
    <w:lvl w:ilvl="8">
      <w:start w:val="1"/>
      <w:numFmt w:val="lowerRoman"/>
      <w:lvlText w:val="%9."/>
      <w:lvlJc w:val="right"/>
      <w:pPr>
        <w:ind w:left="6261" w:hanging="18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534" w:hanging="360"/>
      </w:pPr>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hyperlink" Target="https://www.gov.uk/guidance/ir35-find-out-if-it-applies" TargetMode="External"/><Relationship Id="rId7" Type="http://schemas.openxmlformats.org/officeDocument/2006/relationships/hyperlink" Target="https://www.gov.uk/government/publications/blowing-the-whistle-list-of-prescribed-people-and-bodies--2/whistleblowing-list-of-prescribed-people-and-bodi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